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Cognitive Development Vs. Psychosocial Development Theories </w:t>
      </w:r>
    </w:p>
    <w:p>
      <w:pPr>
        <w:pStyle w:val="Style20"/>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20"/>
        <w:spacing w:lineRule="auto" w:line="48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20"/>
        <w:spacing w:lineRule="auto" w:line="480" w:before="0" w:after="0"/>
        <w:jc w:val="center"/>
        <w:rPr>
          <w:rFonts w:ascii="Times New Roman" w:hAnsi="Times New Roman" w:cs="Times New Roman"/>
          <w:sz w:val="24"/>
          <w:szCs w:val="24"/>
        </w:rPr>
      </w:pPr>
      <w:r>
        <w:rPr>
          <w:rFonts w:cs="Times New Roman" w:ascii="Times New Roman" w:hAnsi="Times New Roman"/>
          <w:sz w:val="24"/>
          <w:szCs w:val="24"/>
        </w:rPr>
        <w:t>Student Name</w:t>
      </w:r>
    </w:p>
    <w:p>
      <w:pPr>
        <w:pStyle w:val="Style20"/>
        <w:spacing w:lineRule="auto" w:line="480" w:before="0" w:after="0"/>
        <w:jc w:val="center"/>
        <w:rPr>
          <w:rFonts w:ascii="Times New Roman" w:hAnsi="Times New Roman" w:cs="Times New Roman"/>
          <w:sz w:val="24"/>
          <w:szCs w:val="24"/>
        </w:rPr>
      </w:pPr>
      <w:r>
        <w:rPr>
          <w:rFonts w:cs="Times New Roman" w:ascii="Times New Roman" w:hAnsi="Times New Roman"/>
          <w:sz w:val="24"/>
          <w:szCs w:val="24"/>
        </w:rPr>
        <w:t>University</w:t>
      </w:r>
    </w:p>
    <w:p>
      <w:pPr>
        <w:pStyle w:val="Style20"/>
        <w:spacing w:lineRule="auto" w:line="480" w:before="0" w:after="0"/>
        <w:jc w:val="center"/>
        <w:rPr>
          <w:rFonts w:ascii="Times New Roman" w:hAnsi="Times New Roman" w:cs="Times New Roman"/>
          <w:sz w:val="24"/>
          <w:szCs w:val="24"/>
        </w:rPr>
      </w:pPr>
      <w:r>
        <w:rPr>
          <w:rFonts w:cs="Times New Roman" w:ascii="Times New Roman" w:hAnsi="Times New Roman"/>
          <w:sz w:val="24"/>
          <w:szCs w:val="24"/>
        </w:rPr>
        <w:t xml:space="preserve">Course </w:t>
      </w:r>
    </w:p>
    <w:p>
      <w:pPr>
        <w:pStyle w:val="Style20"/>
        <w:spacing w:lineRule="auto" w:line="480" w:before="0" w:after="0"/>
        <w:jc w:val="center"/>
        <w:rPr>
          <w:rFonts w:ascii="Times New Roman" w:hAnsi="Times New Roman" w:cs="Times New Roman"/>
          <w:sz w:val="24"/>
          <w:szCs w:val="24"/>
        </w:rPr>
      </w:pPr>
      <w:r>
        <w:rPr>
          <w:rFonts w:cs="Times New Roman" w:ascii="Times New Roman" w:hAnsi="Times New Roman"/>
          <w:sz w:val="24"/>
          <w:szCs w:val="24"/>
        </w:rPr>
        <w:t>Instructor Name</w:t>
      </w:r>
    </w:p>
    <w:p>
      <w:pPr>
        <w:pStyle w:val="Style20"/>
        <w:spacing w:lineRule="auto" w:line="480" w:before="0" w:after="0"/>
        <w:jc w:val="center"/>
        <w:rPr>
          <w:rFonts w:ascii="Times New Roman" w:hAnsi="Times New Roman" w:cs="Times New Roman"/>
          <w:sz w:val="24"/>
          <w:szCs w:val="24"/>
        </w:rPr>
      </w:pPr>
      <w:r>
        <w:rPr>
          <w:rFonts w:cs="Times New Roman" w:ascii="Times New Roman" w:hAnsi="Times New Roman"/>
          <w:sz w:val="24"/>
          <w:szCs w:val="24"/>
        </w:rPr>
        <w:t>Due Date</w:t>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Cognitive Development Vs. Psychosocial Development Theories </w:t>
      </w:r>
    </w:p>
    <w:p>
      <w:pPr>
        <w:pStyle w:val="Style20"/>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 xml:space="preserve">Childhood development has been encompassed with theories that govern children’s progression to adulthood. These theories explain how a child changes and grows over the course of their youth. Additionally, the approaches focus on essential aspects such as children’s emotional, social, and cognitive growth. The two main childhood theories researched, analyzed, and refined include cognitive development and psychosocial development theories by Jean Piaget and Erik Erikson, respectively. The cognitive theory acknowledges that humans progress from the sensorimotor stage to the operational phase. Conversely, psychosocial development theory posits that development is a factor in the interaction between a person and the surrounding social environment. It would be engrossing for readers to understand the disparities and commonalities between the two theories based on childhood development. While both approaches use phases to explain development, have final stages and acknowledge behavior in early childhood, Piaget uses different stages, focuses on brain functions, applies intellectual tendencies, and ignores culture, as opposed to Erikson. </w:t>
      </w:r>
    </w:p>
    <w:p>
      <w:pPr>
        <w:pStyle w:val="Style20"/>
        <w:spacing w:lineRule="auto" w:line="48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Differences between Piaget’s Cognitive and Erickson’s Psychosocial Development Theories </w:t>
      </w:r>
    </w:p>
    <w:p>
      <w:pPr>
        <w:pStyle w:val="Style20"/>
        <w:spacing w:lineRule="auto" w:line="480" w:before="0" w:after="0"/>
        <w:ind w:firstLine="720"/>
        <w:rPr/>
      </w:pPr>
      <w:r>
        <w:rPr>
          <w:rStyle w:val="Style14"/>
          <w:rFonts w:cs="Times New Roman" w:ascii="Times New Roman" w:hAnsi="Times New Roman"/>
          <w:sz w:val="24"/>
          <w:szCs w:val="24"/>
        </w:rPr>
        <w:t>The two theories differ in the number of stages they use to describe the developmental process. According to Erikson, psychosocial development comprises eight steps: trust, independence, accomplishments, reflection, contribution, relationships, identity, and initiative. The stages run from birth to old age and denote how individuals experience psychological and social environments by taking an active initiative rather than being passive to factors that contribute to their growth. Converse to Erikson’s theory, Piaget identifies four stages, entailing sensorimotor, preoperational, concrete operational, and formal operational (</w:t>
      </w:r>
      <w:r>
        <w:rPr>
          <w:rStyle w:val="Style14"/>
          <w:rFonts w:cs="Times New Roman" w:ascii="Times New Roman" w:hAnsi="Times New Roman"/>
          <w:sz w:val="24"/>
          <w:szCs w:val="24"/>
          <w:shd w:fill="FFFFFF" w:val="clear"/>
        </w:rPr>
        <w:t>Babakr et al., 2020)</w:t>
      </w:r>
      <w:r>
        <w:rPr>
          <w:rStyle w:val="Style14"/>
          <w:rFonts w:cs="Times New Roman" w:ascii="Times New Roman" w:hAnsi="Times New Roman"/>
          <w:sz w:val="24"/>
          <w:szCs w:val="24"/>
        </w:rPr>
        <w:t>. Piaget uses these stages to describe how children develop their cognitive skills in specific age groups. For example, in the sensorimotor stage, children aged 18 to 24 months start to become aware of their body functions, such as muscle movement, allowing them to wiggle their legs, among other motion activities (</w:t>
      </w:r>
      <w:r>
        <w:rPr>
          <w:rStyle w:val="Style14"/>
          <w:rFonts w:cs="Times New Roman" w:ascii="Times New Roman" w:hAnsi="Times New Roman"/>
          <w:sz w:val="24"/>
          <w:szCs w:val="24"/>
          <w:shd w:fill="FFFFFF" w:val="clear"/>
        </w:rPr>
        <w:t>Babakr et al., 2020)</w:t>
      </w:r>
      <w:r>
        <w:rPr>
          <w:rStyle w:val="Style14"/>
          <w:rFonts w:cs="Times New Roman" w:ascii="Times New Roman" w:hAnsi="Times New Roman"/>
          <w:sz w:val="24"/>
          <w:szCs w:val="24"/>
        </w:rPr>
        <w:t xml:space="preserve">. Based on the stages difference, it is evident that Erikson covered childhood development holistically by integrating growth processes from birth to old age. In contrast, Piaget focused on the process partially as he omitted later life phases. </w:t>
      </w:r>
    </w:p>
    <w:p>
      <w:pPr>
        <w:pStyle w:val="Style20"/>
        <w:spacing w:lineRule="auto" w:line="480" w:before="0" w:after="0"/>
        <w:ind w:firstLine="720"/>
        <w:rPr/>
      </w:pPr>
      <w:r>
        <w:rPr>
          <w:rStyle w:val="Style14"/>
          <w:rFonts w:cs="Times New Roman" w:ascii="Times New Roman" w:hAnsi="Times New Roman"/>
          <w:sz w:val="24"/>
          <w:szCs w:val="24"/>
        </w:rPr>
        <w:t>The point of focus for both the cognitive and psychosocial theories shows disparities. Piaget focuses on the thought processes of children, including their brain function. Based on this concentration, Piaget identifies how children’s brains respond to environmental stimuli (</w:t>
      </w:r>
      <w:r>
        <w:rPr>
          <w:rStyle w:val="Style14"/>
          <w:rFonts w:cs="Times New Roman" w:ascii="Times New Roman" w:hAnsi="Times New Roman"/>
          <w:sz w:val="24"/>
          <w:szCs w:val="24"/>
          <w:shd w:fill="FFFFFF" w:val="clear"/>
        </w:rPr>
        <w:t>Khasawneh, 2021)</w:t>
      </w:r>
      <w:r>
        <w:rPr>
          <w:rStyle w:val="Style14"/>
          <w:rFonts w:cs="Times New Roman" w:ascii="Times New Roman" w:hAnsi="Times New Roman"/>
          <w:sz w:val="24"/>
          <w:szCs w:val="24"/>
        </w:rPr>
        <w:t>. For example, if the brain is subjected to physical pain, it initiates a response that moves the body from the pain source. Similarly, children’s cognitive development is subject to what they are exposed to in all contexts. While this focus provides crucial information about the product of brain roles, it fails to identify possible challenges at each stage. Erikson centers on challenges that children encounter before transitioning to the stage. According to Erikson, problems in the preceding stage can inhibit the proper psychosocial maturation of children (</w:t>
      </w:r>
      <w:r>
        <w:rPr>
          <w:rStyle w:val="Style14"/>
          <w:rFonts w:cs="Times New Roman" w:ascii="Times New Roman" w:hAnsi="Times New Roman"/>
          <w:sz w:val="24"/>
          <w:szCs w:val="24"/>
          <w:shd w:fill="FFFFFF" w:val="clear"/>
        </w:rPr>
        <w:t>Khasawneh, 2021)</w:t>
      </w:r>
      <w:r>
        <w:rPr>
          <w:rStyle w:val="Style14"/>
          <w:rFonts w:cs="Times New Roman" w:ascii="Times New Roman" w:hAnsi="Times New Roman"/>
          <w:sz w:val="24"/>
          <w:szCs w:val="24"/>
        </w:rPr>
        <w:t>. One challenge that can impose such an impact includes poor emotional quotient. Children who portray poor emotional development at a given stage are less likely to pass the following phase effectively. Generally, Piaget focuses on brain functions, while Erikson concentrates on challenges affecting children at particular levels.</w:t>
      </w:r>
    </w:p>
    <w:p>
      <w:pPr>
        <w:pStyle w:val="Style20"/>
        <w:spacing w:lineRule="auto" w:line="480" w:before="0" w:after="0"/>
        <w:ind w:firstLine="720"/>
        <w:rPr/>
      </w:pPr>
      <w:r>
        <w:rPr>
          <w:rStyle w:val="Style14"/>
          <w:rFonts w:cs="Times New Roman" w:ascii="Times New Roman" w:hAnsi="Times New Roman"/>
          <w:sz w:val="24"/>
          <w:szCs w:val="24"/>
        </w:rPr>
        <w:t>The application of intellectual tendencies by the two theorists differs in their development description. According to Piaget, organization and adaptation are the two most critical intellectual tendencies that govern cognitive development. Organization entails the tendency of a child to collaborate mental processes into general systems. Additionally, adaptation refers to the ability of a person to adjust to the prevailing external environment. Piaget believes that children need to portray a typical and repeated habit in their thinking, judgment and in other cognitive processes for them to triumph in mental growth (</w:t>
      </w:r>
      <w:r>
        <w:rPr>
          <w:rStyle w:val="Style14"/>
          <w:rFonts w:cs="Times New Roman" w:ascii="Times New Roman" w:hAnsi="Times New Roman"/>
          <w:sz w:val="24"/>
          <w:szCs w:val="24"/>
          <w:shd w:fill="FFFFFF" w:val="clear"/>
        </w:rPr>
        <w:t>Sanghvi, 2020)</w:t>
      </w:r>
      <w:r>
        <w:rPr>
          <w:rStyle w:val="Style14"/>
          <w:rFonts w:cs="Times New Roman" w:ascii="Times New Roman" w:hAnsi="Times New Roman"/>
          <w:sz w:val="24"/>
          <w:szCs w:val="24"/>
        </w:rPr>
        <w:t>. According to Piaget, Erikson fails to incorporate tendencies in the description of emotional and social maturation, creating a vague scenario where one fails to identify the habits a child should adopt for effectual psychosocial growth (</w:t>
      </w:r>
      <w:r>
        <w:rPr>
          <w:rStyle w:val="Style14"/>
          <w:rFonts w:cs="Times New Roman" w:ascii="Times New Roman" w:hAnsi="Times New Roman"/>
          <w:sz w:val="24"/>
          <w:szCs w:val="24"/>
          <w:shd w:fill="FFFFFF" w:val="clear"/>
        </w:rPr>
        <w:t>Sanghvi, 2020)</w:t>
      </w:r>
      <w:r>
        <w:rPr>
          <w:rStyle w:val="Style14"/>
          <w:rFonts w:cs="Times New Roman" w:ascii="Times New Roman" w:hAnsi="Times New Roman"/>
          <w:sz w:val="24"/>
          <w:szCs w:val="24"/>
        </w:rPr>
        <w:t>. Piaget includes organization and adaptation, a critical intellectual tendency in governing cognitive expansion, but Erikson fails.</w:t>
      </w:r>
    </w:p>
    <w:p>
      <w:pPr>
        <w:pStyle w:val="Style20"/>
        <w:spacing w:lineRule="auto" w:line="480" w:before="0" w:after="0"/>
        <w:ind w:firstLine="720"/>
        <w:rPr/>
      </w:pPr>
      <w:r>
        <w:rPr>
          <w:rStyle w:val="Style14"/>
          <w:rFonts w:cs="Times New Roman" w:ascii="Times New Roman" w:hAnsi="Times New Roman"/>
          <w:sz w:val="24"/>
          <w:szCs w:val="24"/>
        </w:rPr>
        <w:t>While Erikson centralizes culture and children in psychosocial development, Piaget fails to follow suit. Erikson places children in an integral position when describing the psychosocial development theory. For example, he describes the processes in children aged 18 to 24 months at the sensorimotor phase, such as the development of body awareness. Additionally, Erikson integrates personal experiences, which can emanate from the surrounding culture, into an individual’s life. For example, if a person’s culture states that it is an abomination to take coffee during a specific period, the experience tends to shape the psychological growth of the individual. Converse to Erikson, Piaget focuses on adolescents more than children (</w:t>
      </w:r>
      <w:r>
        <w:rPr>
          <w:rStyle w:val="Style14"/>
          <w:rFonts w:cs="Times New Roman" w:ascii="Times New Roman" w:hAnsi="Times New Roman"/>
          <w:sz w:val="24"/>
          <w:szCs w:val="24"/>
          <w:shd w:fill="FFFFFF" w:val="clear"/>
        </w:rPr>
        <w:t>Sanghvi, 2020)</w:t>
      </w:r>
      <w:r>
        <w:rPr>
          <w:rStyle w:val="Style14"/>
          <w:rFonts w:cs="Times New Roman" w:ascii="Times New Roman" w:hAnsi="Times New Roman"/>
          <w:sz w:val="24"/>
          <w:szCs w:val="24"/>
        </w:rPr>
        <w:t>. For example, Piaget’s theory supports that adolescents have a high ability to excel in cognitive tasks compared to children. Additionally, Piaget fails to incorporate cultural differences that children experience from their younghood to adolescence. Generally, Erikson focuses on children and culture more than Piaget in describing childhood development.</w:t>
      </w:r>
    </w:p>
    <w:p>
      <w:pPr>
        <w:pStyle w:val="Style20"/>
        <w:spacing w:lineRule="auto" w:line="480" w:before="0" w:after="0"/>
        <w:jc w:val="center"/>
        <w:rPr/>
      </w:pPr>
      <w:r>
        <w:rPr>
          <w:rStyle w:val="Style14"/>
          <w:rFonts w:cs="Times New Roman" w:ascii="Times New Roman" w:hAnsi="Times New Roman"/>
          <w:b/>
          <w:bCs/>
          <w:sz w:val="24"/>
          <w:szCs w:val="24"/>
        </w:rPr>
        <w:t>Similarities between Piaget’s Cognitive and Erickson’s Psychosocial Development Theories</w:t>
      </w:r>
    </w:p>
    <w:p>
      <w:pPr>
        <w:pStyle w:val="Style20"/>
        <w:spacing w:lineRule="auto" w:line="480" w:before="0" w:after="0"/>
        <w:ind w:firstLine="720"/>
        <w:rPr/>
      </w:pPr>
      <w:r>
        <w:rPr>
          <w:rStyle w:val="Style14"/>
          <w:rFonts w:cs="Times New Roman" w:ascii="Times New Roman" w:hAnsi="Times New Roman"/>
          <w:sz w:val="24"/>
          <w:szCs w:val="24"/>
        </w:rPr>
        <w:t>Both Piaget and Erikson posit that children inherit behavior during their first year. According to Piaget, children acquire knowledge at the sensorimotor stage, where they learn to manipulate objects using their sensory experiences. Additionally, this stage forms the first entire experience of a child since it incorporates senses, basic reflexes, and motor responses. Similarly, Erikson’s theory points out that infants start experiencing trust and mistrust as early as 18 months, which develops hope (</w:t>
      </w:r>
      <w:r>
        <w:rPr>
          <w:rStyle w:val="Style14"/>
          <w:rFonts w:cs="Times New Roman" w:ascii="Times New Roman" w:hAnsi="Times New Roman"/>
          <w:sz w:val="24"/>
          <w:szCs w:val="24"/>
          <w:shd w:fill="FFFFFF" w:val="clear"/>
        </w:rPr>
        <w:t>Khasawneh, 2021)</w:t>
      </w:r>
      <w:r>
        <w:rPr>
          <w:rStyle w:val="Style14"/>
          <w:rFonts w:cs="Times New Roman" w:ascii="Times New Roman" w:hAnsi="Times New Roman"/>
          <w:sz w:val="24"/>
          <w:szCs w:val="24"/>
        </w:rPr>
        <w:t xml:space="preserve">. The emergence of hope among infants showcases how small children inherit behaviors during their early stages of life. </w:t>
      </w:r>
    </w:p>
    <w:p>
      <w:pPr>
        <w:pStyle w:val="Style20"/>
        <w:spacing w:lineRule="auto" w:line="480" w:before="0" w:after="0"/>
        <w:ind w:firstLine="720"/>
        <w:rPr/>
      </w:pPr>
      <w:r>
        <w:rPr>
          <w:rStyle w:val="Style14"/>
          <w:rFonts w:cs="Times New Roman" w:ascii="Times New Roman" w:hAnsi="Times New Roman"/>
          <w:sz w:val="24"/>
          <w:szCs w:val="24"/>
        </w:rPr>
        <w:t>Both Piaget’s and Erikson’s theories portray a final stage of development. According to Erikson’s theory, the final stage of psychosocial development is adolescence, which lasts between 12 to 19 years (</w:t>
      </w:r>
      <w:r>
        <w:rPr>
          <w:rStyle w:val="Style14"/>
          <w:rFonts w:cs="Times New Roman" w:ascii="Times New Roman" w:hAnsi="Times New Roman"/>
          <w:sz w:val="24"/>
          <w:szCs w:val="24"/>
          <w:shd w:fill="FFFFFF" w:val="clear"/>
        </w:rPr>
        <w:t>Babakr et al., 2020)</w:t>
      </w:r>
      <w:r>
        <w:rPr>
          <w:rStyle w:val="Style14"/>
          <w:rFonts w:cs="Times New Roman" w:ascii="Times New Roman" w:hAnsi="Times New Roman"/>
          <w:sz w:val="24"/>
          <w:szCs w:val="24"/>
        </w:rPr>
        <w:t>. During this stage, children search for personal awareness and self-identity by exploring their personal goals, beliefs, and values intensely. Comparably, Piaget’s theory indicates the final phase of cognitive development as the formal stage. During this level of development, children develop the ability to find solutions to problems methodically and systematically. Additionally, children can think about theoretical and abstract ideas that result in various resolutions and outcomes. Generally, both theories acknowledge the presence of a final stage, where for Erikson’s, it is the adolescent stage, while for Piaget’s, it is the formal level.</w:t>
      </w:r>
    </w:p>
    <w:p>
      <w:pPr>
        <w:pStyle w:val="Style20"/>
        <w:spacing w:lineRule="auto" w:line="480" w:before="0" w:after="0"/>
        <w:ind w:firstLine="720"/>
        <w:rPr/>
      </w:pPr>
      <w:r>
        <w:rPr>
          <w:rStyle w:val="Style14"/>
          <w:rFonts w:cs="Times New Roman" w:ascii="Times New Roman" w:hAnsi="Times New Roman"/>
          <w:sz w:val="24"/>
          <w:szCs w:val="24"/>
        </w:rPr>
        <w:t>Both Piaget and Erikson imply that the developmental process occurs sequentially. According to Erikson, psychosocial development occurs in eight stages, from trust to initiative. Additionally, Piaget’s theory shows that cognitive development occurs in four steps, from sensorimotor to formal operational. The sequential manifestation of the developmental processes is essential as it allows psychologists to identify abnormal behavioral growth (</w:t>
      </w:r>
      <w:r>
        <w:rPr>
          <w:rStyle w:val="Style14"/>
          <w:rFonts w:cs="Times New Roman" w:ascii="Times New Roman" w:hAnsi="Times New Roman"/>
          <w:sz w:val="24"/>
          <w:szCs w:val="24"/>
          <w:shd w:fill="FFFFFF" w:val="clear"/>
        </w:rPr>
        <w:t>Khasawneh, 2021)</w:t>
      </w:r>
      <w:r>
        <w:rPr>
          <w:rStyle w:val="Style14"/>
          <w:rFonts w:cs="Times New Roman" w:ascii="Times New Roman" w:hAnsi="Times New Roman"/>
          <w:sz w:val="24"/>
          <w:szCs w:val="24"/>
        </w:rPr>
        <w:t>. Such abnormalities are identifiable due to the activities the two theorists describe in their respective theoretical stages.</w:t>
      </w:r>
    </w:p>
    <w:p>
      <w:pPr>
        <w:pStyle w:val="Style20"/>
        <w:spacing w:lineRule="auto" w:line="480" w:before="0" w:after="0"/>
        <w:jc w:val="center"/>
        <w:rPr>
          <w:rFonts w:ascii="Times New Roman" w:hAnsi="Times New Roman" w:cs="Times New Roman"/>
          <w:b/>
          <w:bCs/>
          <w:sz w:val="24"/>
          <w:szCs w:val="24"/>
        </w:rPr>
      </w:pPr>
      <w:r>
        <w:rPr>
          <w:rFonts w:cs="Times New Roman" w:ascii="Times New Roman" w:hAnsi="Times New Roman"/>
          <w:b/>
          <w:bCs/>
          <w:sz w:val="24"/>
          <w:szCs w:val="24"/>
        </w:rPr>
        <w:t>Conclusion</w:t>
      </w:r>
    </w:p>
    <w:p>
      <w:pPr>
        <w:pStyle w:val="Style20"/>
        <w:spacing w:lineRule="auto" w:line="480" w:before="0" w:after="0"/>
        <w:ind w:firstLine="720"/>
        <w:rPr>
          <w:rFonts w:ascii="Times New Roman" w:hAnsi="Times New Roman" w:cs="Times New Roman"/>
          <w:sz w:val="24"/>
          <w:szCs w:val="24"/>
        </w:rPr>
      </w:pPr>
      <w:r>
        <w:rPr>
          <w:rFonts w:cs="Times New Roman" w:ascii="Times New Roman" w:hAnsi="Times New Roman"/>
          <w:sz w:val="24"/>
          <w:szCs w:val="24"/>
        </w:rPr>
        <w:t xml:space="preserve">The development theories have specific properties, which can be divided into several types, depending on whether that individual and the environment are viewed as active or inactive. Erickson’s theory was developed from Freud’s theory to explain socialization development using eight phases throughout an individual’s life. Piaget’s theory is a cognitive development that describes the experiences of an individual using four steps from childhood until adolescence. Both theories describe an individual’s psychological and mental development and explain the disparities that affect an individual’s development in several stages of growth. </w:t>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jc w:val="center"/>
        <w:rPr>
          <w:rFonts w:ascii="Times New Roman" w:hAnsi="Times New Roman" w:cs="Times New Roman"/>
          <w:b/>
          <w:bCs/>
          <w:sz w:val="24"/>
          <w:szCs w:val="24"/>
        </w:rPr>
      </w:pPr>
      <w:r>
        <w:rPr>
          <w:rFonts w:cs="Times New Roman" w:ascii="Times New Roman" w:hAnsi="Times New Roman"/>
          <w:b/>
          <w:bCs/>
          <w:sz w:val="24"/>
          <w:szCs w:val="24"/>
        </w:rPr>
        <w:t>References</w:t>
      </w:r>
    </w:p>
    <w:p>
      <w:pPr>
        <w:pStyle w:val="Style20"/>
        <w:tabs>
          <w:tab w:val="clear" w:pos="720"/>
        </w:tabs>
        <w:spacing w:lineRule="auto" w:line="480" w:before="0" w:after="0"/>
        <w:ind w:left="720" w:hanging="720"/>
        <w:rPr/>
      </w:pPr>
      <w:r>
        <w:rPr>
          <w:rStyle w:val="Style14"/>
          <w:rFonts w:cs="Times New Roman" w:ascii="Times New Roman" w:hAnsi="Times New Roman"/>
          <w:sz w:val="24"/>
          <w:szCs w:val="24"/>
          <w:shd w:fill="FFFFFF" w:val="clear"/>
        </w:rPr>
        <w:t>Babakr, Z., Mohamedamin, P., &amp; Kakamad, K. (2020). Piaget’s cognitive developmental theory: Critical review. </w:t>
      </w:r>
      <w:r>
        <w:rPr>
          <w:rStyle w:val="Style14"/>
          <w:rFonts w:cs="Times New Roman" w:ascii="Times New Roman" w:hAnsi="Times New Roman"/>
          <w:i/>
          <w:iCs/>
          <w:sz w:val="24"/>
          <w:szCs w:val="24"/>
          <w:shd w:fill="FFFFFF" w:val="clear"/>
        </w:rPr>
        <w:t>Education Quarterly Reviews</w:t>
      </w:r>
      <w:r>
        <w:rPr>
          <w:rStyle w:val="Style14"/>
          <w:rFonts w:cs="Times New Roman" w:ascii="Times New Roman" w:hAnsi="Times New Roman"/>
          <w:sz w:val="24"/>
          <w:szCs w:val="24"/>
          <w:shd w:fill="FFFFFF" w:val="clear"/>
        </w:rPr>
        <w:t>, </w:t>
      </w:r>
      <w:r>
        <w:rPr>
          <w:rStyle w:val="Style14"/>
          <w:rFonts w:cs="Times New Roman" w:ascii="Times New Roman" w:hAnsi="Times New Roman"/>
          <w:i/>
          <w:iCs/>
          <w:sz w:val="24"/>
          <w:szCs w:val="24"/>
          <w:shd w:fill="FFFFFF" w:val="clear"/>
        </w:rPr>
        <w:t>2</w:t>
      </w:r>
      <w:r>
        <w:rPr>
          <w:rStyle w:val="Style14"/>
          <w:rFonts w:cs="Times New Roman" w:ascii="Times New Roman" w:hAnsi="Times New Roman"/>
          <w:sz w:val="24"/>
          <w:szCs w:val="24"/>
          <w:shd w:fill="FFFFFF" w:val="clear"/>
        </w:rPr>
        <w:t>(3).</w:t>
      </w:r>
      <w:r>
        <w:rPr>
          <w:rStyle w:val="Style14"/>
          <w:rFonts w:cs="Times New Roman" w:ascii="Times New Roman" w:hAnsi="Times New Roman"/>
          <w:sz w:val="24"/>
          <w:szCs w:val="24"/>
        </w:rPr>
        <w:t xml:space="preserve"> </w:t>
      </w:r>
      <w:hyperlink r:id="rId2" w:tgtFrame="_top">
        <w:r>
          <w:rPr>
            <w:rStyle w:val="-"/>
            <w:rFonts w:cs="Times New Roman" w:ascii="Times New Roman" w:hAnsi="Times New Roman"/>
            <w:color w:val="000000"/>
            <w:sz w:val="24"/>
            <w:szCs w:val="24"/>
            <w:u w:val="none"/>
            <w:shd w:fill="FFFFFF" w:val="clear"/>
          </w:rPr>
          <w:t>http://dx.doi.org/10.31014/aior.1993.02.03.84</w:t>
        </w:r>
      </w:hyperlink>
    </w:p>
    <w:p>
      <w:pPr>
        <w:pStyle w:val="Style20"/>
        <w:tabs>
          <w:tab w:val="clear" w:pos="720"/>
        </w:tabs>
        <w:spacing w:lineRule="auto" w:line="480" w:before="0" w:after="0"/>
        <w:ind w:left="720" w:hanging="720"/>
        <w:rPr/>
      </w:pPr>
      <w:r>
        <w:rPr>
          <w:rStyle w:val="Style14"/>
          <w:rFonts w:cs="Times New Roman" w:ascii="Times New Roman" w:hAnsi="Times New Roman"/>
          <w:sz w:val="24"/>
          <w:szCs w:val="24"/>
          <w:shd w:fill="FFFFFF" w:val="clear"/>
        </w:rPr>
        <w:t>Khasawneh, M. A. S. (2021). The effectiveness of a training program based on Erikson’s theory in developing independence skills among students with learning disabilities in Jordan. </w:t>
      </w:r>
      <w:r>
        <w:rPr>
          <w:rStyle w:val="Style14"/>
          <w:rFonts w:cs="Times New Roman" w:ascii="Times New Roman" w:hAnsi="Times New Roman"/>
          <w:i/>
          <w:iCs/>
          <w:sz w:val="24"/>
          <w:szCs w:val="24"/>
          <w:shd w:fill="FFFFFF" w:val="clear"/>
        </w:rPr>
        <w:t>Science and Education</w:t>
      </w:r>
      <w:r>
        <w:rPr>
          <w:rStyle w:val="Style14"/>
          <w:rFonts w:cs="Times New Roman" w:ascii="Times New Roman" w:hAnsi="Times New Roman"/>
          <w:sz w:val="24"/>
          <w:szCs w:val="24"/>
          <w:shd w:fill="FFFFFF" w:val="clear"/>
        </w:rPr>
        <w:t>, </w:t>
      </w:r>
      <w:r>
        <w:rPr>
          <w:rStyle w:val="Style14"/>
          <w:rFonts w:cs="Times New Roman" w:ascii="Times New Roman" w:hAnsi="Times New Roman"/>
          <w:i/>
          <w:iCs/>
          <w:sz w:val="24"/>
          <w:szCs w:val="24"/>
          <w:shd w:fill="FFFFFF" w:val="clear"/>
        </w:rPr>
        <w:t>2</w:t>
      </w:r>
      <w:r>
        <w:rPr>
          <w:rStyle w:val="Style14"/>
          <w:rFonts w:cs="Times New Roman" w:ascii="Times New Roman" w:hAnsi="Times New Roman"/>
          <w:sz w:val="24"/>
          <w:szCs w:val="24"/>
          <w:shd w:fill="FFFFFF" w:val="clear"/>
        </w:rPr>
        <w:t>(8), 457-471.</w:t>
      </w:r>
      <w:r>
        <w:rPr>
          <w:rStyle w:val="Style14"/>
          <w:rFonts w:cs="Times New Roman" w:ascii="Times New Roman" w:hAnsi="Times New Roman"/>
          <w:sz w:val="24"/>
          <w:szCs w:val="24"/>
        </w:rPr>
        <w:t xml:space="preserve"> </w:t>
      </w:r>
      <w:hyperlink r:id="rId3" w:tgtFrame="_top">
        <w:r>
          <w:rPr>
            <w:rStyle w:val="-"/>
            <w:rFonts w:cs="Times New Roman" w:ascii="Times New Roman" w:hAnsi="Times New Roman"/>
            <w:color w:val="000000"/>
            <w:sz w:val="24"/>
            <w:szCs w:val="24"/>
            <w:u w:val="none"/>
            <w:shd w:fill="FFFFFF" w:val="clear"/>
          </w:rPr>
          <w:t>http://dx.doi.org/10.29103/jspm.v2i2.4969</w:t>
        </w:r>
      </w:hyperlink>
    </w:p>
    <w:p>
      <w:pPr>
        <w:pStyle w:val="Style20"/>
        <w:tabs>
          <w:tab w:val="clear" w:pos="720"/>
        </w:tabs>
        <w:spacing w:lineRule="auto" w:line="480" w:before="0" w:after="0"/>
        <w:ind w:left="720" w:hanging="720"/>
        <w:rPr/>
      </w:pPr>
      <w:r>
        <w:rPr>
          <w:rStyle w:val="Style14"/>
          <w:rFonts w:cs="Times New Roman" w:ascii="Times New Roman" w:hAnsi="Times New Roman"/>
          <w:sz w:val="24"/>
          <w:szCs w:val="24"/>
          <w:shd w:fill="FFFFFF" w:val="clear"/>
        </w:rPr>
        <w:t>Sanghvi, P. (2020). Piaget’s theory of cognitive development: A review. </w:t>
      </w:r>
      <w:r>
        <w:rPr>
          <w:rStyle w:val="Style14"/>
          <w:rFonts w:cs="Times New Roman" w:ascii="Times New Roman" w:hAnsi="Times New Roman"/>
          <w:i/>
          <w:iCs/>
          <w:sz w:val="24"/>
          <w:szCs w:val="24"/>
          <w:shd w:fill="FFFFFF" w:val="clear"/>
        </w:rPr>
        <w:t>Indian Journal of Mental Health</w:t>
      </w:r>
      <w:r>
        <w:rPr>
          <w:rStyle w:val="Style14"/>
          <w:rFonts w:cs="Times New Roman" w:ascii="Times New Roman" w:hAnsi="Times New Roman"/>
          <w:sz w:val="24"/>
          <w:szCs w:val="24"/>
          <w:shd w:fill="FFFFFF" w:val="clear"/>
        </w:rPr>
        <w:t>, </w:t>
      </w:r>
      <w:r>
        <w:rPr>
          <w:rStyle w:val="Style14"/>
          <w:rFonts w:cs="Times New Roman" w:ascii="Times New Roman" w:hAnsi="Times New Roman"/>
          <w:i/>
          <w:iCs/>
          <w:sz w:val="24"/>
          <w:szCs w:val="24"/>
          <w:shd w:fill="FFFFFF" w:val="clear"/>
        </w:rPr>
        <w:t>7</w:t>
      </w:r>
      <w:r>
        <w:rPr>
          <w:rStyle w:val="Style14"/>
          <w:rFonts w:cs="Times New Roman" w:ascii="Times New Roman" w:hAnsi="Times New Roman"/>
          <w:sz w:val="24"/>
          <w:szCs w:val="24"/>
          <w:shd w:fill="FFFFFF" w:val="clear"/>
        </w:rPr>
        <w:t xml:space="preserve">(2), 90–96. </w:t>
      </w:r>
      <w:hyperlink r:id="rId4" w:tgtFrame="_top">
        <w:r>
          <w:rPr>
            <w:rStyle w:val="-"/>
            <w:rFonts w:cs="Times New Roman" w:ascii="Times New Roman" w:hAnsi="Times New Roman"/>
            <w:color w:val="000000"/>
            <w:sz w:val="24"/>
            <w:szCs w:val="24"/>
            <w:u w:val="none"/>
            <w:shd w:fill="FFFFFF" w:val="clear"/>
          </w:rPr>
          <w:t>http://dx.doi.org/10.30877/IJMH.7.2.2020.90-96</w:t>
        </w:r>
      </w:hyperlink>
    </w:p>
    <w:p>
      <w:pPr>
        <w:pStyle w:val="Style20"/>
        <w:tabs>
          <w:tab w:val="clear" w:pos="720"/>
        </w:tabs>
        <w:spacing w:lineRule="auto" w:line="480" w:before="0" w:after="0"/>
        <w:ind w:left="720" w:hanging="720"/>
        <w:rPr>
          <w:rFonts w:ascii="Times New Roman" w:hAnsi="Times New Roman" w:cs="Times New Roman"/>
          <w:b/>
          <w:bCs/>
          <w:sz w:val="24"/>
          <w:szCs w:val="24"/>
        </w:rPr>
      </w:pPr>
      <w:r>
        <w:rPr>
          <w:rFonts w:cs="Times New Roman" w:ascii="Times New Roman" w:hAnsi="Times New Roman"/>
          <w:b/>
          <w:bCs/>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Style20"/>
        <w:spacing w:lineRule="auto" w:line="480" w:before="0" w:after="0"/>
        <w:rPr>
          <w:rFonts w:ascii="Times New Roman" w:hAnsi="Times New Roman" w:cs="Times New Roman"/>
          <w:sz w:val="24"/>
          <w:szCs w:val="24"/>
        </w:rPr>
      </w:pPr>
      <w:r>
        <w:rPr>
          <w:rFonts w:cs="Times New Roman" w:ascii="Times New Roman" w:hAnsi="Times New Roman"/>
          <w:sz w:val="24"/>
          <w:szCs w:val="24"/>
        </w:rPr>
      </w:r>
    </w:p>
    <w:sectPr>
      <w:headerReference w:type="default" r:id="rId5"/>
      <w:type w:val="nextPage"/>
      <w:pgSz w:w="11906" w:h="16838"/>
      <w:pgMar w:left="1440" w:right="1440" w:gutter="0" w:header="708" w:top="1440" w:footer="0" w:bottom="708"/>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right"/>
      <w:rPr/>
    </w:pPr>
    <w:r>
      <w:rPr>
        <w:rStyle w:val="Style14"/>
        <w:rFonts w:cs="Times New Roman" w:ascii="Times New Roman" w:hAnsi="Times New Roman"/>
        <w:sz w:val="24"/>
        <w:szCs w:val="24"/>
      </w:rPr>
      <w:fldChar w:fldCharType="begin"/>
    </w:r>
    <w:r>
      <w:rPr>
        <w:rStyle w:val="Style14"/>
        <w:sz w:val="24"/>
        <w:szCs w:val="24"/>
        <w:rFonts w:cs="Times New Roman" w:ascii="Times New Roman" w:hAnsi="Times New Roman"/>
      </w:rPr>
      <w:instrText xml:space="preserve"> PAGE </w:instrText>
    </w:r>
    <w:r>
      <w:rPr>
        <w:rStyle w:val="Style14"/>
        <w:sz w:val="24"/>
        <w:szCs w:val="24"/>
        <w:rFonts w:cs="Times New Roman" w:ascii="Times New Roman" w:hAnsi="Times New Roman"/>
      </w:rPr>
      <w:fldChar w:fldCharType="separate"/>
    </w:r>
    <w:r>
      <w:rPr>
        <w:rStyle w:val="Style14"/>
        <w:sz w:val="24"/>
        <w:szCs w:val="24"/>
        <w:rFonts w:cs="Times New Roman" w:ascii="Times New Roman" w:hAnsi="Times New Roman"/>
      </w:rPr>
      <w:t>7</w:t>
    </w:r>
    <w:r>
      <w:rPr>
        <w:rStyle w:val="Style14"/>
        <w:sz w:val="24"/>
        <w:szCs w:val="24"/>
        <w:rFonts w:cs="Times New Roman" w:ascii="Times New Roman" w:hAnsi="Times New Roman"/>
      </w:rPr>
      <w:fldChar w:fldCharType="end"/>
    </w:r>
  </w:p>
  <w:p>
    <w:pPr>
      <w:pStyle w:val="Style22"/>
      <w:rPr/>
    </w:pPr>
    <w:r>
      <w:rPr/>
    </w:r>
  </w:p>
</w:hdr>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sz w:val="22"/>
        <w:szCs w:val="22"/>
        <w:lang w:val="en-US" w:eastAsia="en-US" w:bidi="ar-SA"/>
      </w:rPr>
    </w:rPrDefault>
    <w:pPrDefault>
      <w:pPr>
        <w:widowControl/>
        <w:suppressAutoHyphens w:val="false"/>
        <w:spacing w:lineRule="auto" w:line="256"/>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56" w:before="0" w:after="160"/>
      <w:jc w:val="left"/>
    </w:pPr>
    <w:rPr>
      <w:rFonts w:ascii="Calibri" w:hAnsi="Calibri" w:eastAsia="Calibri" w:cs="Arial"/>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en-US" w:eastAsia="en-US" w:bidi="ar-SA"/>
    </w:rPr>
  </w:style>
  <w:style w:type="character" w:styleId="Style14">
    <w:name w:val="Основной шрифт абзаца"/>
    <w:qFormat/>
    <w:rPr/>
  </w:style>
  <w:style w:type="character" w:styleId="Style15">
    <w:name w:val="Верхний колонтитул Знак"/>
    <w:basedOn w:val="Style14"/>
    <w:qFormat/>
    <w:rPr/>
  </w:style>
  <w:style w:type="character" w:styleId="Style16">
    <w:name w:val="Нижний колонтитул Знак"/>
    <w:basedOn w:val="Style14"/>
    <w:qFormat/>
    <w:rPr/>
  </w:style>
  <w:style w:type="character" w:styleId="Style17">
    <w:name w:val="Знак примечания"/>
    <w:basedOn w:val="Style14"/>
    <w:qFormat/>
    <w:rPr>
      <w:sz w:val="16"/>
      <w:szCs w:val="16"/>
    </w:rPr>
  </w:style>
  <w:style w:type="character" w:styleId="Style18">
    <w:name w:val="Текст примечания Знак"/>
    <w:basedOn w:val="Style14"/>
    <w:qFormat/>
    <w:rPr>
      <w:sz w:val="20"/>
      <w:szCs w:val="20"/>
    </w:rPr>
  </w:style>
  <w:style w:type="character" w:styleId="Style19">
    <w:name w:val="Гиперссылка"/>
    <w:basedOn w:val="Style14"/>
    <w:qFormat/>
    <w:rPr>
      <w:color w:val="0563C1"/>
      <w:u w:val="single"/>
    </w:rPr>
  </w:style>
  <w:style w:type="character" w:styleId="UnresolvedMention1">
    <w:name w:val="Unresolved Mention1"/>
    <w:basedOn w:val="Style14"/>
    <w:qFormat/>
    <w:rPr>
      <w:color w:val="605E5C"/>
      <w:shd w:fill="E1DFDD" w:val="clear"/>
    </w:rPr>
  </w:style>
  <w:style w:type="character" w:styleId="-">
    <w:name w:val="Hyperlink"/>
    <w:rPr>
      <w:color w:val="000080"/>
      <w:u w:val="single"/>
    </w:rPr>
  </w:style>
  <w:style w:type="paragraph" w:styleId="Style20">
    <w:name w:val="Обычный"/>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6" w:before="0" w:after="160"/>
      <w:jc w:val="left"/>
    </w:pPr>
    <w:rPr>
      <w:rFonts w:ascii="Calibri" w:hAnsi="Calibri" w:eastAsia="Calibri" w:cs="Arial"/>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en-US" w:eastAsia="en-US" w:bidi="ar-SA"/>
    </w:rPr>
  </w:style>
  <w:style w:type="paragraph" w:styleId="Style21">
    <w:name w:val="Колонтитул"/>
    <w:basedOn w:val="Normal"/>
    <w:qFormat/>
    <w:pPr>
      <w:suppressLineNumbers/>
      <w:tabs>
        <w:tab w:val="clear" w:pos="720"/>
        <w:tab w:val="center" w:pos="4819" w:leader="none"/>
        <w:tab w:val="right" w:pos="9638" w:leader="none"/>
      </w:tabs>
    </w:pPr>
    <w:rPr/>
  </w:style>
  <w:style w:type="paragraph" w:styleId="Style22">
    <w:name w:val="Header"/>
    <w:basedOn w:val="Style20"/>
    <w:pPr>
      <w:tabs>
        <w:tab w:val="clear" w:pos="720"/>
        <w:tab w:val="center" w:pos="4513" w:leader="none"/>
        <w:tab w:val="right" w:pos="9026" w:leader="none"/>
      </w:tabs>
      <w:suppressAutoHyphens w:val="true"/>
      <w:spacing w:lineRule="auto" w:line="240" w:before="0" w:after="0"/>
    </w:pPr>
    <w:rPr/>
  </w:style>
  <w:style w:type="paragraph" w:styleId="Style23">
    <w:name w:val="Footer"/>
    <w:basedOn w:val="Style20"/>
    <w:pPr>
      <w:tabs>
        <w:tab w:val="clear" w:pos="720"/>
        <w:tab w:val="center" w:pos="4513" w:leader="none"/>
        <w:tab w:val="right" w:pos="9026" w:leader="none"/>
      </w:tabs>
      <w:suppressAutoHyphens w:val="true"/>
      <w:spacing w:lineRule="auto" w:line="240" w:before="0" w:after="0"/>
    </w:pPr>
    <w:rPr/>
  </w:style>
  <w:style w:type="paragraph" w:styleId="Style24">
    <w:name w:val="Текст примечания"/>
    <w:basedOn w:val="Style20"/>
    <w:qFormat/>
    <w:pPr>
      <w:suppressAutoHyphens w:val="true"/>
      <w:spacing w:lineRule="auto" w:line="2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x.doi.org/10.31014/aior.1993.02.03.84" TargetMode="External"/><Relationship Id="rId3" Type="http://schemas.openxmlformats.org/officeDocument/2006/relationships/hyperlink" Target="http://dx.doi.org/10.29103/jspm.v2i2.4969" TargetMode="External"/><Relationship Id="rId4" Type="http://schemas.openxmlformats.org/officeDocument/2006/relationships/hyperlink" Target="http://dx.doi.org/10.30877/IJMH.7.2.2020.90-96"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LibreOffice/7.5.4.2$Windows_X86_64 LibreOffice_project/36ccfdc35048b057fd9854c757a8b67ec53977b6</Application>
  <AppVersion>15.0000</AppVersion>
  <Pages>1</Pages>
  <Words>1443</Words>
  <Characters>8226</Characters>
  <CharactersWithSpaces>9650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2025-08-29T14:31:00Z</dcterms:created>
  <dc:creator/>
  <dc:description/>
  <dc:language>ru-RU</dc:language>
  <cp:lastModifiedBy/>
  <dcterms:modified xsi:type="dcterms:W3CDTF">2025-08-29T14:31:00Z</dcterms:modified>
  <cp:revision>1</cp:revision>
  <dc:subject/>
  <dc:title/>
</cp:coreProperties>
</file>